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AF80" w14:textId="77777777" w:rsidR="003E6A40" w:rsidRPr="00426498" w:rsidRDefault="003E6A40" w:rsidP="003E6A40">
      <w:pPr>
        <w:jc w:val="center"/>
        <w:rPr>
          <w:rStyle w:val="normaltextrun"/>
          <w:rFonts w:asciiTheme="minorHAnsi" w:hAnsiTheme="minorHAnsi"/>
          <w:sz w:val="20"/>
          <w:szCs w:val="20"/>
        </w:rPr>
      </w:pPr>
      <w:r w:rsidRPr="00426498">
        <w:rPr>
          <w:rStyle w:val="normaltextrun"/>
          <w:rFonts w:asciiTheme="minorHAnsi" w:hAnsiTheme="minorHAnsi" w:cs="Segoe UI"/>
          <w:b/>
          <w:bCs/>
          <w:sz w:val="20"/>
          <w:szCs w:val="20"/>
          <w:u w:val="single"/>
        </w:rPr>
        <w:t>Claystone School Curriculum Statement:</w:t>
      </w:r>
    </w:p>
    <w:p w14:paraId="5D8F921F" w14:textId="77777777" w:rsidR="003E6A40" w:rsidRPr="00426498" w:rsidRDefault="003E6A40" w:rsidP="003E6A40">
      <w:pPr>
        <w:pStyle w:val="paragraph"/>
        <w:spacing w:before="0" w:beforeAutospacing="0" w:after="0" w:afterAutospacing="0"/>
        <w:jc w:val="center"/>
        <w:textAlignment w:val="baseline"/>
        <w:rPr>
          <w:rFonts w:asciiTheme="minorHAnsi" w:eastAsiaTheme="majorEastAsia" w:hAnsiTheme="minorHAnsi" w:cs="Segoe UI"/>
          <w:sz w:val="20"/>
          <w:szCs w:val="20"/>
          <w:u w:val="single"/>
        </w:rPr>
      </w:pPr>
    </w:p>
    <w:p w14:paraId="416B3552" w14:textId="7ADE14D9" w:rsidR="00C04DF5" w:rsidRPr="00426498" w:rsidRDefault="00C04DF5" w:rsidP="00C04DF5">
      <w:pPr>
        <w:pStyle w:val="paragraph"/>
        <w:spacing w:before="0" w:beforeAutospacing="0" w:after="0" w:afterAutospacing="0"/>
        <w:textAlignment w:val="baseline"/>
        <w:rPr>
          <w:rFonts w:asciiTheme="minorHAnsi" w:eastAsiaTheme="majorEastAsia" w:hAnsiTheme="minorHAnsi" w:cs="Arial"/>
          <w:sz w:val="20"/>
          <w:szCs w:val="20"/>
        </w:rPr>
      </w:pPr>
      <w:r w:rsidRPr="00426498">
        <w:rPr>
          <w:rFonts w:asciiTheme="minorHAnsi" w:eastAsiaTheme="majorEastAsia" w:hAnsiTheme="minorHAnsi" w:cs="Arial"/>
          <w:sz w:val="20"/>
          <w:szCs w:val="20"/>
        </w:rPr>
        <w:t xml:space="preserve">At Claystone School, we are committed to ensuring that every learner fully immerses themselves in meaningful learning and exploration within a flexible and responsive framework. Our curriculum is ambitious, personalised and designed to meet the wide scope of needs within our school community. We recognise that all learners develop in different ways; therefore, pupils access learning through one of three learner styles—Sapling, Tree or Forest—ensuring that teaching is delivered in a way that suits </w:t>
      </w:r>
      <w:r w:rsidR="005F7170" w:rsidRPr="00426498">
        <w:rPr>
          <w:rFonts w:asciiTheme="minorHAnsi" w:eastAsiaTheme="majorEastAsia" w:hAnsiTheme="minorHAnsi" w:cs="Arial"/>
          <w:sz w:val="20"/>
          <w:szCs w:val="20"/>
        </w:rPr>
        <w:t>everyone’s</w:t>
      </w:r>
      <w:r w:rsidRPr="00426498">
        <w:rPr>
          <w:rFonts w:asciiTheme="minorHAnsi" w:eastAsiaTheme="majorEastAsia" w:hAnsiTheme="minorHAnsi" w:cs="Arial"/>
          <w:sz w:val="20"/>
          <w:szCs w:val="20"/>
        </w:rPr>
        <w:t xml:space="preserve"> stage of development and preferred mode of engagement.</w:t>
      </w:r>
    </w:p>
    <w:p w14:paraId="68BAB815" w14:textId="77777777" w:rsidR="00B72D38" w:rsidRPr="00426498" w:rsidRDefault="00B72D38" w:rsidP="00C04DF5">
      <w:pPr>
        <w:pStyle w:val="paragraph"/>
        <w:spacing w:before="0" w:beforeAutospacing="0" w:after="0" w:afterAutospacing="0"/>
        <w:textAlignment w:val="baseline"/>
        <w:rPr>
          <w:rFonts w:asciiTheme="minorHAnsi" w:eastAsiaTheme="majorEastAsia" w:hAnsiTheme="minorHAnsi" w:cs="Arial"/>
          <w:sz w:val="20"/>
          <w:szCs w:val="20"/>
        </w:rPr>
      </w:pPr>
    </w:p>
    <w:p w14:paraId="34262CFD" w14:textId="48E951AC" w:rsidR="00C04DF5" w:rsidRPr="00426498" w:rsidRDefault="00C04DF5" w:rsidP="00C04DF5">
      <w:pPr>
        <w:pStyle w:val="paragraph"/>
        <w:spacing w:before="0" w:beforeAutospacing="0" w:after="0" w:afterAutospacing="0"/>
        <w:textAlignment w:val="baseline"/>
        <w:rPr>
          <w:rFonts w:asciiTheme="minorHAnsi" w:eastAsiaTheme="majorEastAsia" w:hAnsiTheme="minorHAnsi" w:cs="Arial"/>
          <w:sz w:val="20"/>
          <w:szCs w:val="20"/>
        </w:rPr>
      </w:pPr>
      <w:r w:rsidRPr="00426498">
        <w:rPr>
          <w:rFonts w:asciiTheme="minorHAnsi" w:eastAsiaTheme="majorEastAsia" w:hAnsiTheme="minorHAnsi" w:cs="Arial"/>
          <w:sz w:val="20"/>
          <w:szCs w:val="20"/>
        </w:rPr>
        <w:t>We offer creative and highly personalised approaches that enable pupils to communicate, think, problem solve and build connections both within the classroom and beyond. Learning is cross</w:t>
      </w:r>
      <w:r w:rsidRPr="00426498">
        <w:rPr>
          <w:rFonts w:ascii="Cambria Math" w:eastAsiaTheme="majorEastAsia" w:hAnsi="Cambria Math" w:cs="Cambria Math"/>
          <w:sz w:val="20"/>
          <w:szCs w:val="20"/>
        </w:rPr>
        <w:t>‑</w:t>
      </w:r>
      <w:r w:rsidRPr="00426498">
        <w:rPr>
          <w:rFonts w:asciiTheme="minorHAnsi" w:eastAsiaTheme="majorEastAsia" w:hAnsiTheme="minorHAnsi" w:cs="Arial"/>
          <w:sz w:val="20"/>
          <w:szCs w:val="20"/>
        </w:rPr>
        <w:t>curricular, contextualised and designed to maximise lifelong outcomes. We ensure our pupils engage in stimulating, positive learning experiences that reflect their strengths and support the areas of need identified within Educational Health Care Plans.</w:t>
      </w:r>
    </w:p>
    <w:p w14:paraId="3308C5EB" w14:textId="77777777" w:rsidR="003E6A40" w:rsidRPr="00426498" w:rsidRDefault="003E6A40" w:rsidP="003E6A40">
      <w:pPr>
        <w:pStyle w:val="paragraph"/>
        <w:spacing w:before="0" w:beforeAutospacing="0" w:after="0" w:afterAutospacing="0"/>
        <w:jc w:val="both"/>
        <w:textAlignment w:val="baseline"/>
        <w:rPr>
          <w:rFonts w:asciiTheme="minorHAnsi" w:hAnsiTheme="minorHAnsi" w:cs="Segoe UI"/>
          <w:sz w:val="20"/>
          <w:szCs w:val="20"/>
        </w:rPr>
      </w:pPr>
    </w:p>
    <w:p w14:paraId="22FD92E4" w14:textId="77777777" w:rsidR="00FB3561" w:rsidRPr="00426498" w:rsidRDefault="003E6A40" w:rsidP="00FB3561">
      <w:pPr>
        <w:pStyle w:val="paragraph"/>
        <w:spacing w:before="0" w:beforeAutospacing="0" w:after="0" w:afterAutospacing="0"/>
        <w:jc w:val="both"/>
        <w:textAlignment w:val="baseline"/>
        <w:rPr>
          <w:rFonts w:asciiTheme="minorHAnsi" w:hAnsiTheme="minorHAnsi" w:cs="Segoe UI"/>
          <w:sz w:val="20"/>
          <w:szCs w:val="20"/>
        </w:rPr>
      </w:pPr>
      <w:r w:rsidRPr="00426498">
        <w:rPr>
          <w:rStyle w:val="normaltextrun"/>
          <w:rFonts w:asciiTheme="minorHAnsi" w:eastAsiaTheme="majorEastAsia" w:hAnsiTheme="minorHAnsi" w:cs="Segoe UI"/>
          <w:b/>
          <w:bCs/>
          <w:sz w:val="20"/>
          <w:szCs w:val="20"/>
        </w:rPr>
        <w:t>Aims of our curriculum</w:t>
      </w:r>
      <w:r w:rsidRPr="00426498">
        <w:rPr>
          <w:rStyle w:val="eop"/>
          <w:rFonts w:asciiTheme="minorHAnsi" w:eastAsiaTheme="majorEastAsia" w:hAnsiTheme="minorHAnsi" w:cs="Segoe UI"/>
          <w:sz w:val="20"/>
          <w:szCs w:val="20"/>
        </w:rPr>
        <w:t> </w:t>
      </w:r>
    </w:p>
    <w:p w14:paraId="0F8F8C00" w14:textId="77777777" w:rsidR="00FB3561" w:rsidRPr="00426498" w:rsidRDefault="00FB3561" w:rsidP="00FB3561">
      <w:pPr>
        <w:pStyle w:val="paragraph"/>
        <w:spacing w:before="0" w:beforeAutospacing="0" w:after="0" w:afterAutospacing="0"/>
        <w:jc w:val="both"/>
        <w:textAlignment w:val="baseline"/>
        <w:rPr>
          <w:rFonts w:asciiTheme="minorHAnsi" w:hAnsiTheme="minorHAnsi" w:cs="Segoe UI"/>
          <w:sz w:val="20"/>
          <w:szCs w:val="20"/>
        </w:rPr>
      </w:pPr>
    </w:p>
    <w:p w14:paraId="1F6E33CF" w14:textId="74F9005B" w:rsidR="00FB3561" w:rsidRPr="00426498" w:rsidRDefault="00FB3561" w:rsidP="00FB3561">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eastAsiaTheme="majorEastAsia" w:hAnsiTheme="minorHAnsi" w:cs="Segoe UI"/>
          <w:sz w:val="20"/>
          <w:szCs w:val="20"/>
        </w:rPr>
        <w:t xml:space="preserve">Our ethos is simple: by creating meaningful and engaging experiences where children and young people learn through exposure, exploration and enquiry, we demonstrate that </w:t>
      </w:r>
      <w:r w:rsidRPr="00426498">
        <w:rPr>
          <w:rFonts w:asciiTheme="minorHAnsi" w:eastAsiaTheme="majorEastAsia" w:hAnsiTheme="minorHAnsi" w:cs="Segoe UI"/>
          <w:i/>
          <w:iCs/>
          <w:sz w:val="20"/>
          <w:szCs w:val="20"/>
        </w:rPr>
        <w:t>Embracing Difference leads to Endless Possibilities</w:t>
      </w:r>
      <w:r w:rsidRPr="00426498">
        <w:rPr>
          <w:rFonts w:asciiTheme="minorHAnsi" w:eastAsiaTheme="majorEastAsia" w:hAnsiTheme="minorHAnsi" w:cs="Segoe UI"/>
          <w:sz w:val="20"/>
          <w:szCs w:val="20"/>
        </w:rPr>
        <w:t>.</w:t>
      </w:r>
    </w:p>
    <w:p w14:paraId="22485B9B" w14:textId="77777777" w:rsidR="003E6A40" w:rsidRPr="00426498" w:rsidRDefault="003E6A40" w:rsidP="003E6A40">
      <w:pPr>
        <w:pStyle w:val="paragraph"/>
        <w:spacing w:before="0" w:beforeAutospacing="0" w:after="0" w:afterAutospacing="0"/>
        <w:jc w:val="both"/>
        <w:textAlignment w:val="baseline"/>
        <w:rPr>
          <w:rFonts w:asciiTheme="minorHAnsi" w:hAnsiTheme="minorHAnsi" w:cs="Segoe UI"/>
          <w:sz w:val="20"/>
          <w:szCs w:val="20"/>
        </w:rPr>
      </w:pPr>
    </w:p>
    <w:p w14:paraId="592AA76A" w14:textId="77777777" w:rsidR="003E6A40" w:rsidRPr="00426498" w:rsidRDefault="003E6A40" w:rsidP="003E6A40">
      <w:pPr>
        <w:pStyle w:val="paragraph"/>
        <w:spacing w:before="0" w:beforeAutospacing="0" w:after="0" w:afterAutospacing="0"/>
        <w:jc w:val="both"/>
        <w:textAlignment w:val="baseline"/>
        <w:rPr>
          <w:rFonts w:asciiTheme="minorHAnsi" w:hAnsiTheme="minorHAnsi" w:cs="Segoe UI"/>
          <w:sz w:val="20"/>
          <w:szCs w:val="20"/>
        </w:rPr>
      </w:pPr>
      <w:r w:rsidRPr="00426498">
        <w:rPr>
          <w:rStyle w:val="normaltextrun"/>
          <w:rFonts w:asciiTheme="minorHAnsi" w:eastAsiaTheme="majorEastAsia" w:hAnsiTheme="minorHAnsi" w:cs="Segoe UI"/>
          <w:b/>
          <w:bCs/>
          <w:sz w:val="20"/>
          <w:szCs w:val="20"/>
        </w:rPr>
        <w:t>Focus for Learning</w:t>
      </w:r>
      <w:r w:rsidRPr="00426498">
        <w:rPr>
          <w:rStyle w:val="eop"/>
          <w:rFonts w:asciiTheme="minorHAnsi" w:eastAsiaTheme="majorEastAsia" w:hAnsiTheme="minorHAnsi" w:cs="Segoe UI"/>
          <w:sz w:val="20"/>
          <w:szCs w:val="20"/>
        </w:rPr>
        <w:t> </w:t>
      </w:r>
    </w:p>
    <w:p w14:paraId="18CB1BC3" w14:textId="42E5FE35" w:rsidR="00487642" w:rsidRPr="00426498" w:rsidRDefault="003E6A40" w:rsidP="00426498">
      <w:pPr>
        <w:pStyle w:val="paragraph"/>
        <w:spacing w:before="0" w:beforeAutospacing="0" w:after="0" w:afterAutospacing="0"/>
        <w:jc w:val="both"/>
        <w:textAlignment w:val="baseline"/>
        <w:rPr>
          <w:rFonts w:asciiTheme="minorHAnsi" w:eastAsiaTheme="majorEastAsia" w:hAnsiTheme="minorHAnsi" w:cs="Segoe UI"/>
          <w:sz w:val="20"/>
          <w:szCs w:val="20"/>
        </w:rPr>
      </w:pPr>
      <w:r w:rsidRPr="00426498">
        <w:rPr>
          <w:rStyle w:val="normaltextrun"/>
          <w:rFonts w:asciiTheme="minorHAnsi" w:eastAsiaTheme="majorEastAsia" w:hAnsiTheme="minorHAnsi" w:cs="Segoe UI"/>
          <w:sz w:val="20"/>
          <w:szCs w:val="20"/>
        </w:rPr>
        <w:t xml:space="preserve">Learners at Claystone School are unique, in that they join our school with a wide scope of needs which require a very different and bespoke approach. We focus on </w:t>
      </w:r>
      <w:proofErr w:type="gramStart"/>
      <w:r w:rsidRPr="00426498">
        <w:rPr>
          <w:rStyle w:val="normaltextrun"/>
          <w:rFonts w:asciiTheme="minorHAnsi" w:eastAsiaTheme="majorEastAsia" w:hAnsiTheme="minorHAnsi" w:cs="Segoe UI"/>
          <w:b/>
          <w:bCs/>
          <w:sz w:val="20"/>
          <w:szCs w:val="20"/>
        </w:rPr>
        <w:t>S</w:t>
      </w:r>
      <w:r w:rsidRPr="00426498">
        <w:rPr>
          <w:rStyle w:val="normaltextrun"/>
          <w:rFonts w:asciiTheme="minorHAnsi" w:eastAsiaTheme="majorEastAsia" w:hAnsiTheme="minorHAnsi" w:cs="Segoe UI"/>
          <w:sz w:val="20"/>
          <w:szCs w:val="20"/>
        </w:rPr>
        <w:t>ocial</w:t>
      </w:r>
      <w:proofErr w:type="gramEnd"/>
      <w:r w:rsidRPr="00426498">
        <w:rPr>
          <w:rStyle w:val="normaltextrun"/>
          <w:rFonts w:asciiTheme="minorHAnsi" w:eastAsiaTheme="majorEastAsia" w:hAnsiTheme="minorHAnsi" w:cs="Segoe UI"/>
          <w:sz w:val="20"/>
          <w:szCs w:val="20"/>
        </w:rPr>
        <w:t xml:space="preserve"> communication and interaction, encouraging students to </w:t>
      </w:r>
      <w:r w:rsidRPr="00426498">
        <w:rPr>
          <w:rStyle w:val="normaltextrun"/>
          <w:rFonts w:asciiTheme="minorHAnsi" w:eastAsiaTheme="majorEastAsia" w:hAnsiTheme="minorHAnsi" w:cs="Segoe UI"/>
          <w:b/>
          <w:bCs/>
          <w:sz w:val="20"/>
          <w:szCs w:val="20"/>
        </w:rPr>
        <w:t>T</w:t>
      </w:r>
      <w:r w:rsidRPr="00426498">
        <w:rPr>
          <w:rStyle w:val="normaltextrun"/>
          <w:rFonts w:asciiTheme="minorHAnsi" w:eastAsiaTheme="majorEastAsia" w:hAnsiTheme="minorHAnsi" w:cs="Segoe UI"/>
          <w:sz w:val="20"/>
          <w:szCs w:val="20"/>
        </w:rPr>
        <w:t xml:space="preserve">hink differently. We provide </w:t>
      </w:r>
      <w:r w:rsidRPr="00426498">
        <w:rPr>
          <w:rStyle w:val="normaltextrun"/>
          <w:rFonts w:asciiTheme="minorHAnsi" w:eastAsiaTheme="majorEastAsia" w:hAnsiTheme="minorHAnsi" w:cs="Segoe UI"/>
          <w:b/>
          <w:bCs/>
          <w:sz w:val="20"/>
          <w:szCs w:val="20"/>
        </w:rPr>
        <w:t>O</w:t>
      </w:r>
      <w:r w:rsidRPr="00426498">
        <w:rPr>
          <w:rStyle w:val="normaltextrun"/>
          <w:rFonts w:asciiTheme="minorHAnsi" w:eastAsiaTheme="majorEastAsia" w:hAnsiTheme="minorHAnsi" w:cs="Segoe UI"/>
          <w:sz w:val="20"/>
          <w:szCs w:val="20"/>
        </w:rPr>
        <w:t xml:space="preserve">pportunities for meaningful learning, </w:t>
      </w:r>
      <w:r w:rsidRPr="00426498">
        <w:rPr>
          <w:rStyle w:val="normaltextrun"/>
          <w:rFonts w:asciiTheme="minorHAnsi" w:eastAsiaTheme="majorEastAsia" w:hAnsiTheme="minorHAnsi" w:cs="Segoe UI"/>
          <w:b/>
          <w:bCs/>
          <w:sz w:val="20"/>
          <w:szCs w:val="20"/>
        </w:rPr>
        <w:t>N</w:t>
      </w:r>
      <w:r w:rsidRPr="00426498">
        <w:rPr>
          <w:rStyle w:val="normaltextrun"/>
          <w:rFonts w:asciiTheme="minorHAnsi" w:eastAsiaTheme="majorEastAsia" w:hAnsiTheme="minorHAnsi" w:cs="Segoe UI"/>
          <w:sz w:val="20"/>
          <w:szCs w:val="20"/>
        </w:rPr>
        <w:t xml:space="preserve">urturing curiosity, that lead to </w:t>
      </w:r>
      <w:r w:rsidRPr="00426498">
        <w:rPr>
          <w:rStyle w:val="normaltextrun"/>
          <w:rFonts w:asciiTheme="minorHAnsi" w:eastAsiaTheme="majorEastAsia" w:hAnsiTheme="minorHAnsi" w:cs="Segoe UI"/>
          <w:b/>
          <w:bCs/>
          <w:sz w:val="20"/>
          <w:szCs w:val="20"/>
        </w:rPr>
        <w:t>E</w:t>
      </w:r>
      <w:r w:rsidRPr="00426498">
        <w:rPr>
          <w:rStyle w:val="normaltextrun"/>
          <w:rFonts w:asciiTheme="minorHAnsi" w:eastAsiaTheme="majorEastAsia" w:hAnsiTheme="minorHAnsi" w:cs="Segoe UI"/>
          <w:sz w:val="20"/>
          <w:szCs w:val="20"/>
        </w:rPr>
        <w:t>ndless possibilities for every child.</w:t>
      </w:r>
      <w:r w:rsidRPr="00426498">
        <w:rPr>
          <w:rStyle w:val="eop"/>
          <w:rFonts w:asciiTheme="minorHAnsi" w:eastAsiaTheme="majorEastAsia" w:hAnsiTheme="minorHAnsi" w:cs="Segoe UI"/>
          <w:sz w:val="20"/>
          <w:szCs w:val="20"/>
        </w:rPr>
        <w:t> </w:t>
      </w:r>
      <w:r w:rsidR="00487642" w:rsidRPr="00426498">
        <w:rPr>
          <w:rFonts w:asciiTheme="minorHAnsi" w:eastAsiaTheme="majorEastAsia" w:hAnsiTheme="minorHAnsi" w:cs="Segoe UI"/>
          <w:sz w:val="20"/>
          <w:szCs w:val="20"/>
        </w:rPr>
        <w:t>We nurture communication, curiosity, independence and positive relationships so that all learners can thrive.</w:t>
      </w:r>
    </w:p>
    <w:p w14:paraId="3DD3D869" w14:textId="77777777" w:rsidR="00B9619A" w:rsidRPr="00426498" w:rsidRDefault="00B9619A" w:rsidP="00B9619A">
      <w:pPr>
        <w:pStyle w:val="paragraph"/>
        <w:textAlignment w:val="baseline"/>
        <w:rPr>
          <w:rFonts w:asciiTheme="minorHAnsi" w:eastAsiaTheme="majorEastAsia" w:hAnsiTheme="minorHAnsi" w:cs="Segoe UI"/>
          <w:b/>
          <w:bCs/>
          <w:sz w:val="20"/>
          <w:szCs w:val="20"/>
        </w:rPr>
      </w:pPr>
      <w:r w:rsidRPr="00426498">
        <w:rPr>
          <w:rFonts w:asciiTheme="minorHAnsi" w:eastAsiaTheme="majorEastAsia" w:hAnsiTheme="minorHAnsi" w:cs="Segoe UI"/>
          <w:b/>
          <w:bCs/>
          <w:sz w:val="20"/>
          <w:szCs w:val="20"/>
        </w:rPr>
        <w:t>Learner Styles at Claystone School</w:t>
      </w:r>
    </w:p>
    <w:p w14:paraId="03220CF0" w14:textId="0C5617D7" w:rsidR="00B9619A" w:rsidRPr="00426498" w:rsidRDefault="00B9619A" w:rsidP="00B9619A">
      <w:pPr>
        <w:pStyle w:val="paragraph"/>
        <w:textAlignment w:val="baseline"/>
        <w:rPr>
          <w:rFonts w:asciiTheme="minorHAnsi" w:eastAsiaTheme="majorEastAsia" w:hAnsiTheme="minorHAnsi" w:cs="Segoe UI"/>
          <w:b/>
          <w:bCs/>
          <w:sz w:val="20"/>
          <w:szCs w:val="20"/>
        </w:rPr>
      </w:pPr>
      <w:r w:rsidRPr="00426498">
        <w:rPr>
          <w:rFonts w:asciiTheme="minorHAnsi" w:eastAsiaTheme="majorEastAsia" w:hAnsiTheme="minorHAnsi" w:cs="Segoe UI"/>
          <w:b/>
          <w:bCs/>
          <w:sz w:val="20"/>
          <w:szCs w:val="20"/>
        </w:rPr>
        <w:t>Sapling Learners – Exposure</w:t>
      </w:r>
    </w:p>
    <w:p w14:paraId="4C571007" w14:textId="77777777" w:rsidR="00B9619A" w:rsidRPr="00426498" w:rsidRDefault="00B9619A" w:rsidP="00B9619A">
      <w:pPr>
        <w:pStyle w:val="paragraph"/>
        <w:textAlignment w:val="baseline"/>
        <w:rPr>
          <w:rFonts w:asciiTheme="minorHAnsi" w:eastAsiaTheme="majorEastAsia" w:hAnsiTheme="minorHAnsi" w:cs="Segoe UI"/>
          <w:sz w:val="20"/>
          <w:szCs w:val="20"/>
        </w:rPr>
      </w:pPr>
      <w:r w:rsidRPr="00426498">
        <w:rPr>
          <w:rFonts w:asciiTheme="minorHAnsi" w:eastAsiaTheme="majorEastAsia" w:hAnsiTheme="minorHAnsi" w:cs="Segoe UI"/>
          <w:sz w:val="20"/>
          <w:szCs w:val="20"/>
        </w:rPr>
        <w:t>Sapling learners access their curriculum through the Exposure approach, rooted in highly motivating, relationship</w:t>
      </w:r>
      <w:r w:rsidRPr="00426498">
        <w:rPr>
          <w:rFonts w:asciiTheme="minorHAnsi" w:eastAsiaTheme="majorEastAsia" w:hAnsiTheme="minorHAnsi" w:cs="Segoe UI"/>
          <w:sz w:val="20"/>
          <w:szCs w:val="20"/>
        </w:rPr>
        <w:noBreakHyphen/>
        <w:t>focused experiences. Learning prioritises shared attention, sensory engagement, communication development, and the building of trusting relationships. Activities centre on choice</w:t>
      </w:r>
      <w:r w:rsidRPr="00426498">
        <w:rPr>
          <w:rFonts w:asciiTheme="minorHAnsi" w:eastAsiaTheme="majorEastAsia" w:hAnsiTheme="minorHAnsi" w:cs="Segoe UI"/>
          <w:sz w:val="20"/>
          <w:szCs w:val="20"/>
        </w:rPr>
        <w:noBreakHyphen/>
        <w:t>making, joint attention, turn</w:t>
      </w:r>
      <w:r w:rsidRPr="00426498">
        <w:rPr>
          <w:rFonts w:asciiTheme="minorHAnsi" w:eastAsiaTheme="majorEastAsia" w:hAnsiTheme="minorHAnsi" w:cs="Segoe UI"/>
          <w:sz w:val="20"/>
          <w:szCs w:val="20"/>
        </w:rPr>
        <w:noBreakHyphen/>
        <w:t>taking, sensory stories and meaningful non</w:t>
      </w:r>
      <w:r w:rsidRPr="00426498">
        <w:rPr>
          <w:rFonts w:asciiTheme="minorHAnsi" w:eastAsiaTheme="majorEastAsia" w:hAnsiTheme="minorHAnsi" w:cs="Segoe UI"/>
          <w:sz w:val="20"/>
          <w:szCs w:val="20"/>
        </w:rPr>
        <w:noBreakHyphen/>
        <w:t>verbal communication.</w:t>
      </w:r>
    </w:p>
    <w:p w14:paraId="23ED6A3F" w14:textId="77777777" w:rsidR="00B9619A" w:rsidRPr="00426498" w:rsidRDefault="00B9619A" w:rsidP="00B9619A">
      <w:pPr>
        <w:pStyle w:val="paragraph"/>
        <w:textAlignment w:val="baseline"/>
        <w:rPr>
          <w:rFonts w:asciiTheme="minorHAnsi" w:eastAsiaTheme="majorEastAsia" w:hAnsiTheme="minorHAnsi" w:cs="Segoe UI"/>
          <w:b/>
          <w:bCs/>
          <w:sz w:val="20"/>
          <w:szCs w:val="20"/>
        </w:rPr>
      </w:pPr>
      <w:r w:rsidRPr="00426498">
        <w:rPr>
          <w:rFonts w:asciiTheme="minorHAnsi" w:eastAsiaTheme="majorEastAsia" w:hAnsiTheme="minorHAnsi" w:cs="Segoe UI"/>
          <w:b/>
          <w:bCs/>
          <w:sz w:val="20"/>
          <w:szCs w:val="20"/>
        </w:rPr>
        <w:t>Tree Learners – Exploration</w:t>
      </w:r>
    </w:p>
    <w:p w14:paraId="6611AE87" w14:textId="77777777" w:rsidR="00B9619A" w:rsidRPr="00426498" w:rsidRDefault="00B9619A" w:rsidP="00B9619A">
      <w:pPr>
        <w:pStyle w:val="paragraph"/>
        <w:textAlignment w:val="baseline"/>
        <w:rPr>
          <w:rFonts w:asciiTheme="minorHAnsi" w:eastAsiaTheme="majorEastAsia" w:hAnsiTheme="minorHAnsi" w:cs="Segoe UI"/>
          <w:sz w:val="20"/>
          <w:szCs w:val="20"/>
        </w:rPr>
      </w:pPr>
      <w:r w:rsidRPr="00426498">
        <w:rPr>
          <w:rFonts w:asciiTheme="minorHAnsi" w:eastAsiaTheme="majorEastAsia" w:hAnsiTheme="minorHAnsi" w:cs="Segoe UI"/>
          <w:sz w:val="20"/>
          <w:szCs w:val="20"/>
        </w:rPr>
        <w:t>Tree learners engage with the Exploration approach, designed to develop curiosity, understanding, cooperative play and expressive communication. Learners deepen their understanding of key concepts, sequence events, build vocabulary, and explore ideas through interactive, practical experiences with adults and peers.</w:t>
      </w:r>
    </w:p>
    <w:p w14:paraId="1143768A" w14:textId="77777777" w:rsidR="006425C2" w:rsidRPr="00426498" w:rsidRDefault="006425C2" w:rsidP="006425C2">
      <w:pPr>
        <w:pStyle w:val="paragraph"/>
        <w:textAlignment w:val="baseline"/>
        <w:rPr>
          <w:rFonts w:asciiTheme="minorHAnsi" w:eastAsiaTheme="majorEastAsia" w:hAnsiTheme="minorHAnsi" w:cs="Segoe UI"/>
          <w:b/>
          <w:bCs/>
          <w:sz w:val="20"/>
          <w:szCs w:val="20"/>
        </w:rPr>
      </w:pPr>
      <w:r w:rsidRPr="00426498">
        <w:rPr>
          <w:rFonts w:asciiTheme="minorHAnsi" w:eastAsiaTheme="majorEastAsia" w:hAnsiTheme="minorHAnsi" w:cs="Segoe UI"/>
          <w:b/>
          <w:bCs/>
          <w:sz w:val="20"/>
          <w:szCs w:val="20"/>
        </w:rPr>
        <w:t>Forest Learners – Enquire</w:t>
      </w:r>
    </w:p>
    <w:p w14:paraId="64274081" w14:textId="77777777" w:rsidR="006425C2" w:rsidRPr="00426498" w:rsidRDefault="006425C2" w:rsidP="006425C2">
      <w:pPr>
        <w:pStyle w:val="paragraph"/>
        <w:textAlignment w:val="baseline"/>
        <w:rPr>
          <w:rFonts w:asciiTheme="minorHAnsi" w:eastAsiaTheme="majorEastAsia" w:hAnsiTheme="minorHAnsi" w:cs="Segoe UI"/>
          <w:sz w:val="20"/>
          <w:szCs w:val="20"/>
        </w:rPr>
      </w:pPr>
      <w:r w:rsidRPr="00426498">
        <w:rPr>
          <w:rFonts w:asciiTheme="minorHAnsi" w:eastAsiaTheme="majorEastAsia" w:hAnsiTheme="minorHAnsi" w:cs="Segoe UI"/>
          <w:sz w:val="20"/>
          <w:szCs w:val="20"/>
        </w:rPr>
        <w:t>Forest learners access their curriculum through the Enquire approach, which promotes independence, self</w:t>
      </w:r>
      <w:r w:rsidRPr="00426498">
        <w:rPr>
          <w:rFonts w:asciiTheme="minorHAnsi" w:eastAsiaTheme="majorEastAsia" w:hAnsiTheme="minorHAnsi" w:cs="Segoe UI"/>
          <w:sz w:val="20"/>
          <w:szCs w:val="20"/>
        </w:rPr>
        <w:noBreakHyphen/>
        <w:t>direction, problem solving and community engagement. Learners develop social thinking, self</w:t>
      </w:r>
      <w:r w:rsidRPr="00426498">
        <w:rPr>
          <w:rFonts w:asciiTheme="minorHAnsi" w:eastAsiaTheme="majorEastAsia" w:hAnsiTheme="minorHAnsi" w:cs="Segoe UI"/>
          <w:sz w:val="20"/>
          <w:szCs w:val="20"/>
        </w:rPr>
        <w:noBreakHyphen/>
        <w:t>regulation, organisational skills, and independence in everyday life while applying knowledge across real</w:t>
      </w:r>
      <w:r w:rsidRPr="00426498">
        <w:rPr>
          <w:rFonts w:asciiTheme="minorHAnsi" w:eastAsiaTheme="majorEastAsia" w:hAnsiTheme="minorHAnsi" w:cs="Segoe UI"/>
          <w:sz w:val="20"/>
          <w:szCs w:val="20"/>
        </w:rPr>
        <w:noBreakHyphen/>
        <w:t>world contexts.</w:t>
      </w:r>
    </w:p>
    <w:p w14:paraId="5090FAA2" w14:textId="77777777" w:rsidR="003E6A40" w:rsidRPr="00426498" w:rsidRDefault="003E6A40" w:rsidP="003E6A40">
      <w:pPr>
        <w:pStyle w:val="paragraph"/>
        <w:spacing w:before="0" w:beforeAutospacing="0" w:after="0" w:afterAutospacing="0"/>
        <w:jc w:val="both"/>
        <w:textAlignment w:val="baseline"/>
        <w:rPr>
          <w:rFonts w:asciiTheme="minorHAnsi" w:hAnsiTheme="minorHAnsi" w:cs="Segoe UI"/>
          <w:sz w:val="20"/>
          <w:szCs w:val="20"/>
        </w:rPr>
      </w:pPr>
      <w:r w:rsidRPr="00426498">
        <w:rPr>
          <w:rStyle w:val="normaltextrun"/>
          <w:rFonts w:asciiTheme="minorHAnsi" w:eastAsiaTheme="majorEastAsia" w:hAnsiTheme="minorHAnsi" w:cs="Segoe UI"/>
          <w:b/>
          <w:bCs/>
          <w:sz w:val="20"/>
          <w:szCs w:val="20"/>
        </w:rPr>
        <w:t>Intent</w:t>
      </w:r>
      <w:r w:rsidRPr="00426498">
        <w:rPr>
          <w:rStyle w:val="normaltextrun"/>
          <w:rFonts w:ascii="Arial" w:eastAsiaTheme="majorEastAsia" w:hAnsi="Arial" w:cs="Arial"/>
          <w:b/>
          <w:bCs/>
          <w:sz w:val="20"/>
          <w:szCs w:val="20"/>
        </w:rPr>
        <w:t> </w:t>
      </w:r>
      <w:r w:rsidRPr="00426498">
        <w:rPr>
          <w:rStyle w:val="normaltextrun"/>
          <w:rFonts w:asciiTheme="minorHAnsi" w:eastAsiaTheme="majorEastAsia" w:hAnsiTheme="minorHAnsi" w:cs="Segoe UI"/>
          <w:b/>
          <w:bCs/>
          <w:sz w:val="20"/>
          <w:szCs w:val="20"/>
        </w:rPr>
        <w:t> </w:t>
      </w:r>
      <w:r w:rsidRPr="00426498">
        <w:rPr>
          <w:rStyle w:val="eop"/>
          <w:rFonts w:asciiTheme="minorHAnsi" w:eastAsiaTheme="majorEastAsia" w:hAnsiTheme="minorHAnsi" w:cs="Segoe UI"/>
          <w:sz w:val="20"/>
          <w:szCs w:val="20"/>
        </w:rPr>
        <w:t> </w:t>
      </w:r>
    </w:p>
    <w:p w14:paraId="63498688" w14:textId="77777777" w:rsidR="006425C2" w:rsidRPr="00426498" w:rsidRDefault="006425C2" w:rsidP="006425C2">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 xml:space="preserve">Our curriculum is driven by the ambition to prepare all learners to become confident individuals who </w:t>
      </w:r>
      <w:proofErr w:type="gramStart"/>
      <w:r w:rsidRPr="00426498">
        <w:rPr>
          <w:rFonts w:asciiTheme="minorHAnsi" w:hAnsiTheme="minorHAnsi" w:cs="Segoe UI"/>
          <w:sz w:val="20"/>
          <w:szCs w:val="20"/>
        </w:rPr>
        <w:t>are able to</w:t>
      </w:r>
      <w:proofErr w:type="gramEnd"/>
      <w:r w:rsidRPr="00426498">
        <w:rPr>
          <w:rFonts w:asciiTheme="minorHAnsi" w:hAnsiTheme="minorHAnsi" w:cs="Segoe UI"/>
          <w:sz w:val="20"/>
          <w:szCs w:val="20"/>
        </w:rPr>
        <w:t xml:space="preserve"> live safe, healthy and fulfilling lives. It is rich, vibrant and ambitious for every pupil, regardless of need or starting point.</w:t>
      </w:r>
    </w:p>
    <w:p w14:paraId="16BAF815" w14:textId="77777777" w:rsidR="006425C2" w:rsidRPr="00426498" w:rsidRDefault="006425C2" w:rsidP="006425C2">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We develop the essential knowledge, skills and understanding that form the building blocks for later life. Learning is delivered flexibly so pupils can access it through their Sapling, Tree or Forest learner style, ensuring that teaching approaches match developmental need.</w:t>
      </w:r>
    </w:p>
    <w:p w14:paraId="1DCC0DF4" w14:textId="02350A40" w:rsidR="006425C2" w:rsidRPr="00426498" w:rsidRDefault="006425C2" w:rsidP="00984F98">
      <w:pPr>
        <w:pStyle w:val="paragraph"/>
        <w:jc w:val="both"/>
        <w:textAlignment w:val="baseline"/>
        <w:rPr>
          <w:rFonts w:asciiTheme="minorHAnsi" w:hAnsiTheme="minorHAnsi" w:cs="Segoe UI"/>
          <w:sz w:val="20"/>
          <w:szCs w:val="20"/>
        </w:rPr>
      </w:pPr>
      <w:r w:rsidRPr="00426498">
        <w:rPr>
          <w:rFonts w:asciiTheme="minorHAnsi" w:hAnsiTheme="minorHAnsi" w:cs="Segoe UI"/>
          <w:sz w:val="20"/>
          <w:szCs w:val="20"/>
        </w:rPr>
        <w:t>We enrich each student's experience by creating an environment that promotes success, communication, curiosity, independence and meaningful connections. Our planning is cyclical, enabling learning to build over time, connecting past, present and future knowledge in a coherent sequence.</w:t>
      </w:r>
      <w:r w:rsidR="00E20EE3" w:rsidRPr="00426498">
        <w:rPr>
          <w:rFonts w:asciiTheme="minorHAnsi" w:hAnsiTheme="minorHAnsi" w:cs="Segoe UI"/>
          <w:sz w:val="20"/>
          <w:szCs w:val="20"/>
        </w:rPr>
        <w:t xml:space="preserve"> Values</w:t>
      </w:r>
      <w:r w:rsidR="00E20EE3" w:rsidRPr="00426498">
        <w:rPr>
          <w:rFonts w:asciiTheme="minorHAnsi" w:hAnsiTheme="minorHAnsi" w:cs="Segoe UI"/>
          <w:sz w:val="20"/>
          <w:szCs w:val="20"/>
        </w:rPr>
        <w:noBreakHyphen/>
        <w:t>based Education, including British Values, remains embedded throughout all learning experiences.</w:t>
      </w:r>
    </w:p>
    <w:p w14:paraId="4CAA4C60" w14:textId="77777777" w:rsidR="003E6A40" w:rsidRPr="00426498" w:rsidRDefault="003E6A40" w:rsidP="003E6A40">
      <w:pPr>
        <w:pStyle w:val="paragraph"/>
        <w:spacing w:before="0" w:beforeAutospacing="0" w:after="0" w:afterAutospacing="0"/>
        <w:jc w:val="both"/>
        <w:textAlignment w:val="baseline"/>
        <w:rPr>
          <w:rStyle w:val="eop"/>
          <w:rFonts w:asciiTheme="minorHAnsi" w:eastAsiaTheme="majorEastAsia" w:hAnsiTheme="minorHAnsi" w:cs="Segoe UI"/>
          <w:sz w:val="20"/>
          <w:szCs w:val="20"/>
        </w:rPr>
      </w:pPr>
      <w:r w:rsidRPr="00426498">
        <w:rPr>
          <w:rStyle w:val="normaltextrun"/>
          <w:rFonts w:asciiTheme="minorHAnsi" w:eastAsiaTheme="majorEastAsia" w:hAnsiTheme="minorHAnsi" w:cs="Segoe UI"/>
          <w:b/>
          <w:bCs/>
          <w:sz w:val="20"/>
          <w:szCs w:val="20"/>
        </w:rPr>
        <w:t>Implementation</w:t>
      </w:r>
      <w:r w:rsidRPr="00426498">
        <w:rPr>
          <w:rStyle w:val="normaltextrun"/>
          <w:rFonts w:ascii="Arial" w:eastAsiaTheme="majorEastAsia" w:hAnsi="Arial" w:cs="Arial"/>
          <w:b/>
          <w:bCs/>
          <w:sz w:val="20"/>
          <w:szCs w:val="20"/>
        </w:rPr>
        <w:t> </w:t>
      </w:r>
      <w:r w:rsidRPr="00426498">
        <w:rPr>
          <w:rStyle w:val="normaltextrun"/>
          <w:rFonts w:asciiTheme="minorHAnsi" w:eastAsiaTheme="majorEastAsia" w:hAnsiTheme="minorHAnsi" w:cs="Segoe UI"/>
          <w:b/>
          <w:bCs/>
          <w:sz w:val="20"/>
          <w:szCs w:val="20"/>
        </w:rPr>
        <w:t> </w:t>
      </w:r>
      <w:r w:rsidRPr="00426498">
        <w:rPr>
          <w:rStyle w:val="eop"/>
          <w:rFonts w:asciiTheme="minorHAnsi" w:eastAsiaTheme="majorEastAsia" w:hAnsiTheme="minorHAnsi" w:cs="Segoe UI"/>
          <w:sz w:val="20"/>
          <w:szCs w:val="20"/>
        </w:rPr>
        <w:t> </w:t>
      </w:r>
    </w:p>
    <w:p w14:paraId="209C14CE"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lastRenderedPageBreak/>
        <w:t>Each term, overarching themes connect all areas of learning, ensuring coherence, continuity and meaningful links for every learner. Projects are knowledge</w:t>
      </w:r>
      <w:r w:rsidRPr="00426498">
        <w:rPr>
          <w:rFonts w:asciiTheme="minorHAnsi" w:hAnsiTheme="minorHAnsi" w:cs="Segoe UI"/>
          <w:sz w:val="20"/>
          <w:szCs w:val="20"/>
        </w:rPr>
        <w:noBreakHyphen/>
        <w:t>rich and intentionally adaptable so they can be accessed through Exposure (Sapling), Exploration (Tree) or Enquire (Forest), enabling pupils to learn in ways that match their developmental stage and preferred learner style. Learners demonstrate their understanding through a wide range of responses—practical, sensory, verbal, visual or experiential—ensuring everyone can show what they know.</w:t>
      </w:r>
    </w:p>
    <w:p w14:paraId="540F09DC"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p>
    <w:p w14:paraId="19BDB7B4"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Key concepts and essential vocabulary are carefully identified across the curriculum. This supports the structured accumulation of knowledge and helps pupils move learning into long</w:t>
      </w:r>
      <w:r w:rsidRPr="00426498">
        <w:rPr>
          <w:rFonts w:asciiTheme="minorHAnsi" w:hAnsiTheme="minorHAnsi" w:cs="Segoe UI"/>
          <w:sz w:val="20"/>
          <w:szCs w:val="20"/>
        </w:rPr>
        <w:noBreakHyphen/>
        <w:t xml:space="preserve">term memory. Our cyclical planning approach enables learners to revisit and deepen previous understanding, connecting past, present and future learning. </w:t>
      </w:r>
    </w:p>
    <w:p w14:paraId="2B51BFC5"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p>
    <w:p w14:paraId="1ED6D976" w14:textId="120A39B5"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Regular recapping, sensory exploration and repeated opportunities to practise essential life skills allow learners to develop confidence, independence and secure functional fluency.</w:t>
      </w:r>
    </w:p>
    <w:p w14:paraId="1EA7C05C"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p>
    <w:p w14:paraId="3361474E" w14:textId="268DBB7B"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We use a Total Communication Approach, ensuring all pupils can understand and express themselves using the methods most effective for them. This may include spoken language, signing, symbols, visuals, objects of reference and gesture. Total Communication is embedded across the school so that every learner is supported to communicate purposefully and meaningfully throughout the school day.</w:t>
      </w:r>
    </w:p>
    <w:p w14:paraId="047144CA"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p>
    <w:p w14:paraId="35F94118" w14:textId="77777777"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Teachers adapt learning using detailed individual student profiles and the principles of Ask–Accept–Develop, enabling staff to build responsive interactions that nurture communication, social engagement and emotional safety. This approach supports learners to take the lead, explore their interests and develop independence in a supportive and attuned environment.</w:t>
      </w:r>
    </w:p>
    <w:p w14:paraId="4EC226B3" w14:textId="62E537FA" w:rsidR="00426498" w:rsidRPr="00426498" w:rsidRDefault="00981F0F" w:rsidP="00426498">
      <w:pPr>
        <w:pStyle w:val="paragraph"/>
        <w:jc w:val="both"/>
        <w:textAlignment w:val="baseline"/>
        <w:rPr>
          <w:rFonts w:asciiTheme="minorHAnsi" w:hAnsiTheme="minorHAnsi" w:cs="Segoe UI"/>
          <w:sz w:val="22"/>
          <w:szCs w:val="22"/>
        </w:rPr>
      </w:pPr>
      <w:r w:rsidRPr="00426498">
        <w:rPr>
          <w:rFonts w:asciiTheme="minorHAnsi" w:hAnsiTheme="minorHAnsi" w:cs="Segoe UI"/>
          <w:sz w:val="20"/>
          <w:szCs w:val="20"/>
        </w:rPr>
        <w:t>Our practice is underpinned by Trauma</w:t>
      </w:r>
      <w:r w:rsidRPr="00426498">
        <w:rPr>
          <w:rFonts w:asciiTheme="minorHAnsi" w:hAnsiTheme="minorHAnsi" w:cs="Segoe UI"/>
          <w:sz w:val="20"/>
          <w:szCs w:val="20"/>
        </w:rPr>
        <w:noBreakHyphen/>
        <w:t>Informed principles, ensuring that classrooms are predictable, nurturing and responsive to pupils’ emotional needs. Staff prioritise relationships, co</w:t>
      </w:r>
      <w:r w:rsidRPr="00426498">
        <w:rPr>
          <w:rFonts w:asciiTheme="minorHAnsi" w:hAnsiTheme="minorHAnsi" w:cs="Segoe UI"/>
          <w:sz w:val="20"/>
          <w:szCs w:val="20"/>
        </w:rPr>
        <w:noBreakHyphen/>
        <w:t>regulation and safe, low</w:t>
      </w:r>
      <w:r w:rsidRPr="00426498">
        <w:rPr>
          <w:rFonts w:asciiTheme="minorHAnsi" w:hAnsiTheme="minorHAnsi" w:cs="Segoe UI"/>
          <w:sz w:val="20"/>
          <w:szCs w:val="20"/>
        </w:rPr>
        <w:noBreakHyphen/>
        <w:t>demand learning environments so that pupils feel secure, valued and ready to engage.</w:t>
      </w:r>
      <w:r w:rsidR="00426498" w:rsidRPr="00426498">
        <w:rPr>
          <w:rFonts w:asciiTheme="minorHAnsi" w:hAnsiTheme="minorHAnsi" w:cs="Segoe UI"/>
          <w:sz w:val="20"/>
          <w:szCs w:val="20"/>
        </w:rPr>
        <w:t xml:space="preserve"> We work with our on-site speech and language therapist and occupational therapist, to ensure our pupils' therapeutic goals are embedded seamlessly within all their daily activities, interactions and learning.</w:t>
      </w:r>
    </w:p>
    <w:p w14:paraId="4656CB82" w14:textId="6AA969A3" w:rsidR="00981F0F" w:rsidRPr="00426498" w:rsidRDefault="00981F0F" w:rsidP="00981F0F">
      <w:pPr>
        <w:pStyle w:val="paragraph"/>
        <w:spacing w:before="0" w:beforeAutospacing="0" w:after="0" w:afterAutospacing="0"/>
        <w:jc w:val="both"/>
        <w:textAlignment w:val="baseline"/>
        <w:rPr>
          <w:rFonts w:asciiTheme="minorHAnsi" w:hAnsiTheme="minorHAnsi" w:cs="Segoe UI"/>
          <w:sz w:val="20"/>
          <w:szCs w:val="20"/>
        </w:rPr>
      </w:pPr>
      <w:r w:rsidRPr="00426498">
        <w:rPr>
          <w:rFonts w:asciiTheme="minorHAnsi" w:hAnsiTheme="minorHAnsi" w:cs="Segoe UI"/>
          <w:sz w:val="20"/>
          <w:szCs w:val="20"/>
        </w:rPr>
        <w:t xml:space="preserve">Visits, visitors and </w:t>
      </w:r>
      <w:r w:rsidR="000C2C58" w:rsidRPr="00426498">
        <w:rPr>
          <w:rFonts w:asciiTheme="minorHAnsi" w:hAnsiTheme="minorHAnsi" w:cs="Segoe UI"/>
          <w:sz w:val="20"/>
          <w:szCs w:val="20"/>
        </w:rPr>
        <w:t xml:space="preserve">celebrations </w:t>
      </w:r>
      <w:r w:rsidRPr="00426498">
        <w:rPr>
          <w:rFonts w:asciiTheme="minorHAnsi" w:hAnsiTheme="minorHAnsi" w:cs="Segoe UI"/>
          <w:sz w:val="20"/>
          <w:szCs w:val="20"/>
        </w:rPr>
        <w:t>further enrich the curriculum, broadening pupils’ real</w:t>
      </w:r>
      <w:r w:rsidRPr="00426498">
        <w:rPr>
          <w:rFonts w:asciiTheme="minorHAnsi" w:hAnsiTheme="minorHAnsi" w:cs="Segoe UI"/>
          <w:sz w:val="20"/>
          <w:szCs w:val="20"/>
        </w:rPr>
        <w:noBreakHyphen/>
        <w:t>world understanding and strengthening motivation and engagement. These experiences deepen connections between learning, life skills and the wider world.</w:t>
      </w:r>
    </w:p>
    <w:p w14:paraId="59704206" w14:textId="77777777" w:rsidR="00981F0F" w:rsidRPr="00426498" w:rsidRDefault="00981F0F" w:rsidP="003E6A40">
      <w:pPr>
        <w:pStyle w:val="paragraph"/>
        <w:spacing w:before="0" w:beforeAutospacing="0" w:after="0" w:afterAutospacing="0"/>
        <w:jc w:val="both"/>
        <w:textAlignment w:val="baseline"/>
        <w:rPr>
          <w:rFonts w:asciiTheme="minorHAnsi" w:hAnsiTheme="minorHAnsi" w:cs="Segoe UI"/>
          <w:sz w:val="20"/>
          <w:szCs w:val="20"/>
        </w:rPr>
      </w:pPr>
    </w:p>
    <w:p w14:paraId="59EE54FD" w14:textId="77777777" w:rsidR="00F0206B" w:rsidRPr="00426498" w:rsidRDefault="003E6A40" w:rsidP="003E6A40">
      <w:pPr>
        <w:pStyle w:val="paragraph"/>
        <w:spacing w:before="0" w:beforeAutospacing="0" w:after="0" w:afterAutospacing="0"/>
        <w:jc w:val="both"/>
        <w:textAlignment w:val="baseline"/>
        <w:rPr>
          <w:rStyle w:val="normaltextrun"/>
          <w:rFonts w:asciiTheme="minorHAnsi" w:eastAsiaTheme="majorEastAsia" w:hAnsiTheme="minorHAnsi" w:cs="Segoe UI"/>
          <w:b/>
          <w:bCs/>
          <w:sz w:val="20"/>
          <w:szCs w:val="20"/>
        </w:rPr>
      </w:pPr>
      <w:r w:rsidRPr="00426498">
        <w:rPr>
          <w:rStyle w:val="normaltextrun"/>
          <w:rFonts w:asciiTheme="minorHAnsi" w:eastAsiaTheme="majorEastAsia" w:hAnsiTheme="minorHAnsi" w:cs="Segoe UI"/>
          <w:b/>
          <w:bCs/>
          <w:sz w:val="20"/>
          <w:szCs w:val="20"/>
        </w:rPr>
        <w:t>Impact</w:t>
      </w:r>
      <w:r w:rsidRPr="00426498">
        <w:rPr>
          <w:rStyle w:val="normaltextrun"/>
          <w:rFonts w:ascii="Arial" w:eastAsiaTheme="majorEastAsia" w:hAnsi="Arial" w:cs="Arial"/>
          <w:b/>
          <w:bCs/>
          <w:sz w:val="20"/>
          <w:szCs w:val="20"/>
        </w:rPr>
        <w:t> </w:t>
      </w:r>
      <w:r w:rsidRPr="00426498">
        <w:rPr>
          <w:rStyle w:val="normaltextrun"/>
          <w:rFonts w:asciiTheme="minorHAnsi" w:eastAsiaTheme="majorEastAsia" w:hAnsiTheme="minorHAnsi" w:cs="Segoe UI"/>
          <w:b/>
          <w:bCs/>
          <w:sz w:val="20"/>
          <w:szCs w:val="20"/>
        </w:rPr>
        <w:t> </w:t>
      </w:r>
    </w:p>
    <w:p w14:paraId="0876BA16" w14:textId="77777777" w:rsidR="00F0206B" w:rsidRPr="00426498" w:rsidRDefault="00F0206B" w:rsidP="00F0206B">
      <w:pPr>
        <w:pStyle w:val="paragraph"/>
        <w:jc w:val="both"/>
        <w:textAlignment w:val="baseline"/>
        <w:rPr>
          <w:rFonts w:asciiTheme="minorHAnsi" w:eastAsiaTheme="majorEastAsia" w:hAnsiTheme="minorHAnsi" w:cs="Segoe UI"/>
          <w:sz w:val="20"/>
          <w:szCs w:val="20"/>
        </w:rPr>
      </w:pPr>
      <w:r w:rsidRPr="00426498">
        <w:rPr>
          <w:rFonts w:asciiTheme="minorHAnsi" w:eastAsiaTheme="majorEastAsia" w:hAnsiTheme="minorHAnsi" w:cs="Segoe UI"/>
          <w:sz w:val="20"/>
          <w:szCs w:val="20"/>
        </w:rPr>
        <w:t>Our cohesive and ambitious curriculum places learners at the centre. By accessing learning through the style best suited to them—Sapling (Exposure), Tree (Exploration) or Forest (Enquire)—pupils make strong personal progress from their starting points.</w:t>
      </w:r>
    </w:p>
    <w:p w14:paraId="5C45474D" w14:textId="77777777" w:rsidR="009E232F" w:rsidRPr="00426498" w:rsidRDefault="003E6A40" w:rsidP="009E232F">
      <w:pPr>
        <w:pStyle w:val="paragraph"/>
        <w:jc w:val="both"/>
        <w:textAlignment w:val="baseline"/>
        <w:rPr>
          <w:rFonts w:asciiTheme="minorHAnsi" w:eastAsiaTheme="majorEastAsia" w:hAnsiTheme="minorHAnsi" w:cs="Segoe UI"/>
          <w:sz w:val="20"/>
          <w:szCs w:val="20"/>
        </w:rPr>
      </w:pPr>
      <w:r w:rsidRPr="00426498">
        <w:rPr>
          <w:rStyle w:val="eop"/>
          <w:rFonts w:asciiTheme="minorHAnsi" w:eastAsiaTheme="majorEastAsia" w:hAnsiTheme="minorHAnsi" w:cs="Segoe UI"/>
          <w:sz w:val="20"/>
          <w:szCs w:val="20"/>
        </w:rPr>
        <w:t> </w:t>
      </w:r>
      <w:r w:rsidR="009E232F" w:rsidRPr="00426498">
        <w:rPr>
          <w:rFonts w:asciiTheme="minorHAnsi" w:eastAsiaTheme="majorEastAsia" w:hAnsiTheme="minorHAnsi" w:cs="Segoe UI"/>
          <w:sz w:val="20"/>
          <w:szCs w:val="20"/>
        </w:rPr>
        <w:t>Learners build secure connections in knowledge, skills and understanding, supporting them to become the best versions of themselves. They are prepared for their next stage of education, adulthood and community life through a curriculum that develops independence, resilience, communication and well</w:t>
      </w:r>
      <w:r w:rsidR="009E232F" w:rsidRPr="00426498">
        <w:rPr>
          <w:rFonts w:asciiTheme="minorHAnsi" w:eastAsiaTheme="majorEastAsia" w:hAnsiTheme="minorHAnsi" w:cs="Segoe UI"/>
          <w:sz w:val="20"/>
          <w:szCs w:val="20"/>
        </w:rPr>
        <w:noBreakHyphen/>
        <w:t>being.</w:t>
      </w:r>
    </w:p>
    <w:p w14:paraId="485D42A1" w14:textId="02F46509" w:rsidR="009E232F" w:rsidRPr="00426498" w:rsidRDefault="009E232F" w:rsidP="009E232F">
      <w:pPr>
        <w:pStyle w:val="paragraph"/>
        <w:jc w:val="both"/>
        <w:textAlignment w:val="baseline"/>
        <w:rPr>
          <w:rFonts w:asciiTheme="minorHAnsi" w:hAnsiTheme="minorHAnsi" w:cs="Segoe UI"/>
          <w:sz w:val="20"/>
          <w:szCs w:val="20"/>
        </w:rPr>
      </w:pPr>
      <w:r w:rsidRPr="00426498">
        <w:rPr>
          <w:rFonts w:asciiTheme="minorHAnsi" w:hAnsiTheme="minorHAnsi" w:cs="Segoe UI"/>
          <w:sz w:val="20"/>
          <w:szCs w:val="20"/>
        </w:rPr>
        <w:t>Assessment draws on holistic evidence, parental involvement, assessment tools, EHCP outcomes and daily learning captured through Evidence for Learning. This ensures we identify achievements and next steps with accuracy and clarity.</w:t>
      </w:r>
    </w:p>
    <w:p w14:paraId="0D2726D4" w14:textId="68CD37A7" w:rsidR="003E6A40" w:rsidRPr="000C2C58" w:rsidRDefault="003E6A40" w:rsidP="003E6A40">
      <w:pPr>
        <w:pStyle w:val="paragraph"/>
        <w:spacing w:before="0" w:beforeAutospacing="0" w:after="0" w:afterAutospacing="0"/>
        <w:jc w:val="both"/>
        <w:textAlignment w:val="baseline"/>
        <w:rPr>
          <w:rFonts w:asciiTheme="minorHAnsi" w:hAnsiTheme="minorHAnsi" w:cs="Segoe UI"/>
          <w:sz w:val="20"/>
          <w:szCs w:val="20"/>
        </w:rPr>
      </w:pPr>
    </w:p>
    <w:p w14:paraId="2234DAA6" w14:textId="77777777" w:rsidR="00940A1D" w:rsidRDefault="00940A1D"/>
    <w:sectPr w:rsidR="00940A1D" w:rsidSect="000C2C5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F284" w14:textId="77777777" w:rsidR="00EC6522" w:rsidRDefault="00EC6522" w:rsidP="00EC6522">
      <w:r>
        <w:separator/>
      </w:r>
    </w:p>
  </w:endnote>
  <w:endnote w:type="continuationSeparator" w:id="0">
    <w:p w14:paraId="5FF65769" w14:textId="77777777" w:rsidR="00EC6522" w:rsidRDefault="00EC6522" w:rsidP="00EC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FFEE" w14:textId="77777777" w:rsidR="00422C9D" w:rsidRDefault="00422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B3A" w14:textId="77777777" w:rsidR="00422C9D" w:rsidRDefault="00422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4B74" w14:textId="77777777" w:rsidR="00422C9D" w:rsidRDefault="0042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443A" w14:textId="77777777" w:rsidR="00EC6522" w:rsidRDefault="00EC6522" w:rsidP="00EC6522">
      <w:r>
        <w:separator/>
      </w:r>
    </w:p>
  </w:footnote>
  <w:footnote w:type="continuationSeparator" w:id="0">
    <w:p w14:paraId="0187E00C" w14:textId="77777777" w:rsidR="00EC6522" w:rsidRDefault="00EC6522" w:rsidP="00EC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A66F" w14:textId="6636D8E2" w:rsidR="00422C9D" w:rsidRDefault="00422C9D">
    <w:pPr>
      <w:pStyle w:val="Header"/>
    </w:pPr>
    <w:r>
      <w:rPr>
        <w:noProof/>
        <w14:ligatures w14:val="standardContextual"/>
      </w:rPr>
      <w:pict w14:anchorId="612B4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680797" o:spid="_x0000_s4098" type="#_x0000_t75" style="position:absolute;margin-left:0;margin-top:0;width:523.15pt;height:447.3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FB33" w14:textId="53C94078" w:rsidR="00422C9D" w:rsidRDefault="00422C9D">
    <w:pPr>
      <w:pStyle w:val="Header"/>
    </w:pPr>
    <w:r>
      <w:rPr>
        <w:noProof/>
        <w14:ligatures w14:val="standardContextual"/>
      </w:rPr>
      <w:pict w14:anchorId="6ABB1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680798" o:spid="_x0000_s4099" type="#_x0000_t75" style="position:absolute;margin-left:0;margin-top:0;width:523.15pt;height:447.3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9317" w14:textId="4481A514" w:rsidR="00422C9D" w:rsidRDefault="00422C9D">
    <w:pPr>
      <w:pStyle w:val="Header"/>
    </w:pPr>
    <w:r>
      <w:rPr>
        <w:noProof/>
        <w14:ligatures w14:val="standardContextual"/>
      </w:rPr>
      <w:pict w14:anchorId="3CA6C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680796" o:spid="_x0000_s4097" type="#_x0000_t75" style="position:absolute;margin-left:0;margin-top:0;width:523.15pt;height:447.3pt;z-index:-251658240;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40"/>
    <w:rsid w:val="000C2C58"/>
    <w:rsid w:val="001C1ED1"/>
    <w:rsid w:val="002B0293"/>
    <w:rsid w:val="00351D6A"/>
    <w:rsid w:val="003E6A40"/>
    <w:rsid w:val="00422C9D"/>
    <w:rsid w:val="00426498"/>
    <w:rsid w:val="00487642"/>
    <w:rsid w:val="004B6E09"/>
    <w:rsid w:val="005C6EAD"/>
    <w:rsid w:val="005F7170"/>
    <w:rsid w:val="006425C2"/>
    <w:rsid w:val="0065601F"/>
    <w:rsid w:val="006D6BE8"/>
    <w:rsid w:val="00854F21"/>
    <w:rsid w:val="00940A1D"/>
    <w:rsid w:val="00981F0F"/>
    <w:rsid w:val="00984F98"/>
    <w:rsid w:val="009E232F"/>
    <w:rsid w:val="00A35A33"/>
    <w:rsid w:val="00AF4201"/>
    <w:rsid w:val="00B31EC3"/>
    <w:rsid w:val="00B72D38"/>
    <w:rsid w:val="00B929F1"/>
    <w:rsid w:val="00B9619A"/>
    <w:rsid w:val="00C04DF5"/>
    <w:rsid w:val="00C62C20"/>
    <w:rsid w:val="00C812D2"/>
    <w:rsid w:val="00CE3C08"/>
    <w:rsid w:val="00D01CDC"/>
    <w:rsid w:val="00D12E1A"/>
    <w:rsid w:val="00DB5363"/>
    <w:rsid w:val="00E031FE"/>
    <w:rsid w:val="00E20EE3"/>
    <w:rsid w:val="00E26BF5"/>
    <w:rsid w:val="00E64B36"/>
    <w:rsid w:val="00EC6522"/>
    <w:rsid w:val="00EE07D0"/>
    <w:rsid w:val="00F0206B"/>
    <w:rsid w:val="00FB3561"/>
    <w:rsid w:val="00FF3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0ACFA24"/>
  <w15:chartTrackingRefBased/>
  <w15:docId w15:val="{B0A82586-FFF5-46E7-AE6B-CBF366AC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40"/>
    <w:pPr>
      <w:widowControl w:val="0"/>
      <w:autoSpaceDE w:val="0"/>
      <w:autoSpaceDN w:val="0"/>
      <w:spacing w:after="0" w:line="240" w:lineRule="auto"/>
    </w:pPr>
    <w:rPr>
      <w:rFonts w:ascii="Work Sans" w:eastAsia="Work Sans" w:hAnsi="Work Sans" w:cs="Work Sans"/>
      <w:kern w:val="0"/>
      <w14:ligatures w14:val="none"/>
    </w:rPr>
  </w:style>
  <w:style w:type="paragraph" w:styleId="Heading1">
    <w:name w:val="heading 1"/>
    <w:basedOn w:val="Normal"/>
    <w:next w:val="Normal"/>
    <w:link w:val="Heading1Char"/>
    <w:uiPriority w:val="9"/>
    <w:qFormat/>
    <w:rsid w:val="003E6A4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6A4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6A4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6A4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6A4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6A4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6A4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6A4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6A4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A40"/>
    <w:rPr>
      <w:rFonts w:eastAsiaTheme="majorEastAsia" w:cstheme="majorBidi"/>
      <w:color w:val="272727" w:themeColor="text1" w:themeTint="D8"/>
    </w:rPr>
  </w:style>
  <w:style w:type="paragraph" w:styleId="Title">
    <w:name w:val="Title"/>
    <w:basedOn w:val="Normal"/>
    <w:next w:val="Normal"/>
    <w:link w:val="TitleChar"/>
    <w:uiPriority w:val="10"/>
    <w:qFormat/>
    <w:rsid w:val="003E6A4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6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A4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6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A4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E6A40"/>
    <w:rPr>
      <w:i/>
      <w:iCs/>
      <w:color w:val="404040" w:themeColor="text1" w:themeTint="BF"/>
    </w:rPr>
  </w:style>
  <w:style w:type="paragraph" w:styleId="ListParagraph">
    <w:name w:val="List Paragraph"/>
    <w:basedOn w:val="Normal"/>
    <w:uiPriority w:val="34"/>
    <w:qFormat/>
    <w:rsid w:val="003E6A40"/>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E6A40"/>
    <w:rPr>
      <w:i/>
      <w:iCs/>
      <w:color w:val="0F4761" w:themeColor="accent1" w:themeShade="BF"/>
    </w:rPr>
  </w:style>
  <w:style w:type="paragraph" w:styleId="IntenseQuote">
    <w:name w:val="Intense Quote"/>
    <w:basedOn w:val="Normal"/>
    <w:next w:val="Normal"/>
    <w:link w:val="IntenseQuoteChar"/>
    <w:uiPriority w:val="30"/>
    <w:qFormat/>
    <w:rsid w:val="003E6A4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E6A40"/>
    <w:rPr>
      <w:i/>
      <w:iCs/>
      <w:color w:val="0F4761" w:themeColor="accent1" w:themeShade="BF"/>
    </w:rPr>
  </w:style>
  <w:style w:type="character" w:styleId="IntenseReference">
    <w:name w:val="Intense Reference"/>
    <w:basedOn w:val="DefaultParagraphFont"/>
    <w:uiPriority w:val="32"/>
    <w:qFormat/>
    <w:rsid w:val="003E6A40"/>
    <w:rPr>
      <w:b/>
      <w:bCs/>
      <w:smallCaps/>
      <w:color w:val="0F4761" w:themeColor="accent1" w:themeShade="BF"/>
      <w:spacing w:val="5"/>
    </w:rPr>
  </w:style>
  <w:style w:type="paragraph" w:customStyle="1" w:styleId="paragraph">
    <w:name w:val="paragraph"/>
    <w:basedOn w:val="Normal"/>
    <w:rsid w:val="003E6A4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6A40"/>
  </w:style>
  <w:style w:type="character" w:customStyle="1" w:styleId="eop">
    <w:name w:val="eop"/>
    <w:basedOn w:val="DefaultParagraphFont"/>
    <w:rsid w:val="003E6A40"/>
  </w:style>
  <w:style w:type="paragraph" w:styleId="Header">
    <w:name w:val="header"/>
    <w:basedOn w:val="Normal"/>
    <w:link w:val="HeaderChar"/>
    <w:uiPriority w:val="99"/>
    <w:unhideWhenUsed/>
    <w:rsid w:val="00EC6522"/>
    <w:pPr>
      <w:tabs>
        <w:tab w:val="center" w:pos="4513"/>
        <w:tab w:val="right" w:pos="9026"/>
      </w:tabs>
    </w:pPr>
  </w:style>
  <w:style w:type="character" w:customStyle="1" w:styleId="HeaderChar">
    <w:name w:val="Header Char"/>
    <w:basedOn w:val="DefaultParagraphFont"/>
    <w:link w:val="Header"/>
    <w:uiPriority w:val="99"/>
    <w:rsid w:val="00EC6522"/>
    <w:rPr>
      <w:rFonts w:ascii="Work Sans" w:eastAsia="Work Sans" w:hAnsi="Work Sans" w:cs="Work Sans"/>
      <w:kern w:val="0"/>
      <w14:ligatures w14:val="none"/>
    </w:rPr>
  </w:style>
  <w:style w:type="paragraph" w:styleId="Footer">
    <w:name w:val="footer"/>
    <w:basedOn w:val="Normal"/>
    <w:link w:val="FooterChar"/>
    <w:uiPriority w:val="99"/>
    <w:unhideWhenUsed/>
    <w:rsid w:val="00EC6522"/>
    <w:pPr>
      <w:tabs>
        <w:tab w:val="center" w:pos="4513"/>
        <w:tab w:val="right" w:pos="9026"/>
      </w:tabs>
    </w:pPr>
  </w:style>
  <w:style w:type="character" w:customStyle="1" w:styleId="FooterChar">
    <w:name w:val="Footer Char"/>
    <w:basedOn w:val="DefaultParagraphFont"/>
    <w:link w:val="Footer"/>
    <w:uiPriority w:val="99"/>
    <w:rsid w:val="00EC6522"/>
    <w:rPr>
      <w:rFonts w:ascii="Work Sans" w:eastAsia="Work Sans" w:hAnsi="Work Sans" w:cs="Work San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8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9CE142419184692BE82C186328E38" ma:contentTypeVersion="10" ma:contentTypeDescription="Create a new document." ma:contentTypeScope="" ma:versionID="e1a0c9cc8c90a020cd38f1ac9902fc9f">
  <xsd:schema xmlns:xsd="http://www.w3.org/2001/XMLSchema" xmlns:xs="http://www.w3.org/2001/XMLSchema" xmlns:p="http://schemas.microsoft.com/office/2006/metadata/properties" xmlns:ns2="cf0d11e9-998d-4343-9163-8daa463104de" xmlns:ns3="452a9915-0263-4731-b00a-c92277491373" targetNamespace="http://schemas.microsoft.com/office/2006/metadata/properties" ma:root="true" ma:fieldsID="3820db15d0e2a04a5779062b94625ee9" ns2:_="" ns3:_="">
    <xsd:import namespace="cf0d11e9-998d-4343-9163-8daa463104de"/>
    <xsd:import namespace="452a9915-0263-4731-b00a-c92277491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11e9-998d-4343-9163-8daa46310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9915-0263-4731-b00a-c922774913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bc981-a45e-4ded-9702-115531263198}" ma:internalName="TaxCatchAll" ma:showField="CatchAllData" ma:web="452a9915-0263-4731-b00a-c92277491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d11e9-998d-4343-9163-8daa463104de">
      <Terms xmlns="http://schemas.microsoft.com/office/infopath/2007/PartnerControls"/>
    </lcf76f155ced4ddcb4097134ff3c332f>
    <TaxCatchAll xmlns="452a9915-0263-4731-b00a-c92277491373" xsi:nil="true"/>
  </documentManagement>
</p:properties>
</file>

<file path=customXml/itemProps1.xml><?xml version="1.0" encoding="utf-8"?>
<ds:datastoreItem xmlns:ds="http://schemas.openxmlformats.org/officeDocument/2006/customXml" ds:itemID="{5FDD57A5-5C9E-4836-9B52-5452D23D1183}">
  <ds:schemaRefs>
    <ds:schemaRef ds:uri="http://schemas.microsoft.com/sharepoint/v3/contenttype/forms"/>
  </ds:schemaRefs>
</ds:datastoreItem>
</file>

<file path=customXml/itemProps2.xml><?xml version="1.0" encoding="utf-8"?>
<ds:datastoreItem xmlns:ds="http://schemas.openxmlformats.org/officeDocument/2006/customXml" ds:itemID="{B286DCB9-3DB6-49ED-A163-F69AA3334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11e9-998d-4343-9163-8daa463104de"/>
    <ds:schemaRef ds:uri="452a9915-0263-4731-b00a-c92277491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29B0D-9220-4538-949D-3C33A3D8598C}">
  <ds:schemaRefs>
    <ds:schemaRef ds:uri="http://purl.org/dc/elements/1.1/"/>
    <ds:schemaRef ds:uri="cf0d11e9-998d-4343-9163-8daa463104de"/>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52a9915-0263-4731-b00a-c922774913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6171</Characters>
  <Application>Microsoft Office Word</Application>
  <DocSecurity>0</DocSecurity>
  <Lines>51</Lines>
  <Paragraphs>14</Paragraphs>
  <ScaleCrop>false</ScaleCrop>
  <Company>Outcomes First Group</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Lovegrove (Claystone School)</dc:creator>
  <cp:keywords/>
  <dc:description/>
  <cp:lastModifiedBy>Sasha Groves (Claystone School)</cp:lastModifiedBy>
  <cp:revision>2</cp:revision>
  <dcterms:created xsi:type="dcterms:W3CDTF">2026-01-20T15:34:00Z</dcterms:created>
  <dcterms:modified xsi:type="dcterms:W3CDTF">2026-01-20T15:34:00Z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0x010100CA09CE142419184692BE82C186328E38</vt:lpwstr>
  </property>
  <property fmtid="{D5CDD505-2E9C-101B-9397-08002B2CF9AE}" pid="3" name="MediaServiceImageTags">
    <vt:lpwstr/>
  </property>
</Properties>
</file>